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120"/>
        <w:jc w:val="left"/>
      </w:pPr>
      <w:r>
        <w:drawing>
          <wp:inline distT="0" distB="0" distL="0" distR="0">
            <wp:extent cx="609600" cy="666750"/>
            <wp:effectExtent t="0" r="0" b="0" l="0"/>
            <wp:docPr id="1" name="" descr="" titl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609600" cy="666750"/>
                    </a:xfrm>
                    <a:prstGeom prst="rect">
                      <a:avLst/>
                    </a:prstGeom>
                  </pic:spPr>
                </pic:pic>
              </a:graphicData>
            </a:graphic>
          </wp:inline>
        </w:drawing>
      </w:r>
    </w:p>
    <w:p>
      <w:pPr>
        <w:spacing w:after="60"/>
      </w:pPr>
      <w:r>
        <w:rPr>
          <w:rFonts w:ascii="Calibri" w:cs="Calibri" w:eastAsia="Calibri" w:hAnsi="Calibri"/>
          <w:b/>
          <w:bCs/>
          <w:color w:val="98662C"/>
          <w:sz w:val="20"/>
          <w:szCs w:val="20"/>
        </w:rPr>
        <w:t xml:space="preserve">MODÈLE COMMENTÉ</w:t>
      </w:r>
    </w:p>
    <w:p>
      <w:pPr>
        <w:pStyle w:val="Title"/>
        <w:spacing w:after="120"/>
      </w:pPr>
      <w:r>
        <w:rPr>
          <w:rFonts w:ascii="Calibri" w:cs="Calibri" w:eastAsia="Calibri" w:hAnsi="Calibri"/>
          <w:b/>
          <w:bCs/>
          <w:color w:val="1D4A23"/>
          <w:sz w:val="44"/>
          <w:szCs w:val="44"/>
        </w:rPr>
        <w:t xml:space="preserve">CCTP : fourniture et pose d'une aire de jeux</w:t>
      </w:r>
    </w:p>
    <w:p>
      <w:pPr>
        <w:spacing w:after="240"/>
      </w:pPr>
      <w:r>
        <w:rPr>
          <w:rFonts w:ascii="Calibri" w:cs="Calibri" w:eastAsia="Calibri" w:hAnsi="Calibri"/>
          <w:color w:val="5D6B62"/>
          <w:sz w:val="24"/>
          <w:szCs w:val="24"/>
        </w:rPr>
        <w:t xml:space="preserve">Cahier des clauses techniques particulières, à adapter à votre projet</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pPr>
              <w:spacing w:after="80"/>
            </w:pPr>
            <w:r>
              <w:rPr>
                <w:rFonts w:ascii="Calibri" w:cs="Calibri" w:eastAsia="Calibri" w:hAnsi="Calibri"/>
                <w:b/>
                <w:bCs/>
                <w:color w:val="1D4A23"/>
                <w:sz w:val="22"/>
                <w:szCs w:val="22"/>
              </w:rPr>
              <w:t xml:space="preserve">Mode d'emploi</w:t>
            </w:r>
          </w:p>
          <w:p>
            <w:pPr>
              <w:spacing w:after="60"/>
            </w:pPr>
            <w:r>
              <w:rPr>
                <w:rFonts w:ascii="Calibri" w:cs="Calibri" w:eastAsia="Calibri" w:hAnsi="Calibri"/>
                <w:sz w:val="20"/>
                <w:szCs w:val="20"/>
              </w:rPr>
              <w:t xml:space="preserve">Les passages entre crochets [ ] sont à compléter.</w:t>
            </w:r>
          </w:p>
          <w:p>
            <w:pPr>
              <w:spacing w:after="60"/>
            </w:pPr>
            <w:r>
              <w:rPr>
                <w:rFonts w:ascii="Calibri" w:cs="Calibri" w:eastAsia="Calibri" w:hAnsi="Calibri"/>
                <w:sz w:val="20"/>
                <w:szCs w:val="20"/>
              </w:rPr>
              <w:t xml:space="preserve">Les encadrés « Conseil de rédaction » vous guident : supprimez-les avant de publier votre consultation.</w:t>
            </w:r>
          </w:p>
          <w:p>
            <w:pPr>
              <w:spacing w:after="0"/>
            </w:pPr>
            <w:r>
              <w:rPr>
                <w:rFonts w:ascii="Calibri" w:cs="Calibri" w:eastAsia="Calibri" w:hAnsi="Calibri"/>
                <w:color w:val="5D6B62"/>
                <w:sz w:val="20"/>
                <w:szCs w:val="20"/>
              </w:rPr>
              <w:t xml:space="preserve">Ce modèle est fourni à titre indicatif et ne remplace pas la vérification par votre service des marchés. Mis à jour le 27 septembre 2026.</w:t>
            </w:r>
          </w:p>
        </w:tc>
      </w:tr>
    </w:tbl>
    <w:p>
      <w:pPr>
        <w:spacing w:after="120"/>
      </w:pPr>
    </w:p>
    <w:p>
      <w:pPr>
        <w:pStyle w:val="Heading1"/>
        <w:spacing w:after="120" w:before="280"/>
      </w:pPr>
      <w:r>
        <w:rPr>
          <w:rFonts w:ascii="Calibri" w:cs="Calibri" w:eastAsia="Calibri" w:hAnsi="Calibri"/>
          <w:b/>
          <w:bCs/>
          <w:color w:val="1D4A23"/>
          <w:sz w:val="28"/>
          <w:szCs w:val="28"/>
        </w:rPr>
        <w:t xml:space="preserve">Article 1. Objet du marché</w:t>
      </w:r>
    </w:p>
    <w:p>
      <w:pPr>
        <w:spacing w:after="120"/>
      </w:pPr>
      <w:r>
        <w:rPr>
          <w:rFonts w:ascii="Calibri" w:cs="Calibri" w:eastAsia="Calibri" w:hAnsi="Calibri"/>
          <w:sz w:val="21"/>
          <w:szCs w:val="21"/>
        </w:rPr>
        <w:t xml:space="preserve">Le présent cahier des clauses techniques particulières (CCTP) a pour objet la fourniture, la livraison et la pose d'équipements d'aire de jeux et de leur sol amortissant, sur le site suivant : [nom et adresse du site], commune de [commune].</w:t>
      </w:r>
    </w:p>
    <w:p>
      <w:pPr>
        <w:spacing w:after="120"/>
      </w:pPr>
      <w:r>
        <w:rPr>
          <w:rFonts w:ascii="Calibri" w:cs="Calibri" w:eastAsia="Calibri" w:hAnsi="Calibri"/>
          <w:sz w:val="21"/>
          <w:szCs w:val="21"/>
        </w:rPr>
        <w:t xml:space="preserve">Les prestations comprennent : les travaux préparatoires, la fourniture et la pose des équipements, la fourniture et la mise en œuvre des sols amortissants, la signalétique réglementaire, le contrôle de réception et la remise du dossier des ouvrages exécutés.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Précisez si le marché comprend une tranche optionnelle (entretien, contrôle annuel, seconde phase) et s'il est alloti (par exemple lot 1 jeux, lot 2 sols).</w:t>
            </w:r>
          </w:p>
        </w:tc>
      </w:tr>
    </w:tbl>
    <w:p>
      <w:pPr>
        <w:spacing w:after="60"/>
      </w:pPr>
    </w:p>
    <w:p>
      <w:pPr>
        <w:pStyle w:val="Heading1"/>
        <w:spacing w:after="120" w:before="280"/>
      </w:pPr>
      <w:r>
        <w:rPr>
          <w:rFonts w:ascii="Calibri" w:cs="Calibri" w:eastAsia="Calibri" w:hAnsi="Calibri"/>
          <w:b/>
          <w:bCs/>
          <w:color w:val="1D4A23"/>
          <w:sz w:val="28"/>
          <w:szCs w:val="28"/>
        </w:rPr>
        <w:t xml:space="preserve">Article 2. Textes et normes de référence</w:t>
      </w:r>
    </w:p>
    <w:p>
      <w:pPr>
        <w:spacing w:after="120"/>
      </w:pPr>
      <w:r>
        <w:rPr>
          <w:rFonts w:ascii="Calibri" w:cs="Calibri" w:eastAsia="Calibri" w:hAnsi="Calibri"/>
          <w:sz w:val="21"/>
          <w:szCs w:val="21"/>
        </w:rPr>
        <w:t xml:space="preserve">Les prestations respectent les textes en vigueur à la date de remise des offres, notamment :</w:t>
      </w:r>
    </w:p>
    <w:p>
      <w:pPr>
        <w:pStyle w:val="ListParagraph"/>
        <w:numPr>
          <w:ilvl w:val="0"/>
          <w:numId w:val="2"/>
        </w:numPr>
        <w:spacing w:after="60"/>
      </w:pPr>
      <w:r>
        <w:rPr>
          <w:rFonts w:ascii="Calibri" w:cs="Calibri" w:eastAsia="Calibri" w:hAnsi="Calibri"/>
          <w:sz w:val="21"/>
          <w:szCs w:val="21"/>
        </w:rPr>
        <w:t xml:space="preserve">le décret n° 94-699 du 10 août 1994 fixant les exigences de sécurité relatives aux équipements d'aires collectives de jeux ;</w:t>
      </w:r>
    </w:p>
    <w:p>
      <w:pPr>
        <w:pStyle w:val="ListParagraph"/>
        <w:numPr>
          <w:ilvl w:val="0"/>
          <w:numId w:val="2"/>
        </w:numPr>
        <w:spacing w:after="60"/>
      </w:pPr>
      <w:r>
        <w:rPr>
          <w:rFonts w:ascii="Calibri" w:cs="Calibri" w:eastAsia="Calibri" w:hAnsi="Calibri"/>
          <w:sz w:val="21"/>
          <w:szCs w:val="21"/>
        </w:rPr>
        <w:t xml:space="preserve">le décret n° 96-1136 du 18 décembre 1996 fixant les prescriptions de sécurité relatives aux aires collectives de jeux ;</w:t>
      </w:r>
    </w:p>
    <w:p>
      <w:pPr>
        <w:pStyle w:val="ListParagraph"/>
        <w:numPr>
          <w:ilvl w:val="0"/>
          <w:numId w:val="2"/>
        </w:numPr>
        <w:spacing w:after="60"/>
      </w:pPr>
      <w:r>
        <w:rPr>
          <w:rFonts w:ascii="Calibri" w:cs="Calibri" w:eastAsia="Calibri" w:hAnsi="Calibri"/>
          <w:sz w:val="21"/>
          <w:szCs w:val="21"/>
        </w:rPr>
        <w:t xml:space="preserve">la série de normes NF EN 1176 (parties 1 à 7, 10 et 11 selon les équipements) relative aux équipements et sols d'aires de jeux ;</w:t>
      </w:r>
    </w:p>
    <w:p>
      <w:pPr>
        <w:pStyle w:val="ListParagraph"/>
        <w:numPr>
          <w:ilvl w:val="0"/>
          <w:numId w:val="2"/>
        </w:numPr>
        <w:spacing w:after="60"/>
      </w:pPr>
      <w:r>
        <w:rPr>
          <w:rFonts w:ascii="Calibri" w:cs="Calibri" w:eastAsia="Calibri" w:hAnsi="Calibri"/>
          <w:sz w:val="21"/>
          <w:szCs w:val="21"/>
        </w:rPr>
        <w:t xml:space="preserve">la norme NF EN 1177 relative à la détermination de l'amortissement des sols ;</w:t>
      </w:r>
    </w:p>
    <w:p>
      <w:pPr>
        <w:pStyle w:val="ListParagraph"/>
        <w:numPr>
          <w:ilvl w:val="0"/>
          <w:numId w:val="2"/>
        </w:numPr>
        <w:spacing w:after="60"/>
      </w:pPr>
      <w:r>
        <w:rPr>
          <w:rFonts w:ascii="Calibri" w:cs="Calibri" w:eastAsia="Calibri" w:hAnsi="Calibri"/>
          <w:sz w:val="21"/>
          <w:szCs w:val="21"/>
        </w:rPr>
        <w:t xml:space="preserve">le cas échéant, la norme NF EN 16630 (équipements de fitness de plein air) et la norme NF EN 15312 (équipements sportifs en accès libre) ;</w:t>
      </w:r>
    </w:p>
    <w:p>
      <w:pPr>
        <w:pStyle w:val="ListParagraph"/>
        <w:numPr>
          <w:ilvl w:val="0"/>
          <w:numId w:val="2"/>
        </w:numPr>
        <w:spacing w:after="60"/>
      </w:pPr>
      <w:r>
        <w:rPr>
          <w:rFonts w:ascii="Calibri" w:cs="Calibri" w:eastAsia="Calibri" w:hAnsi="Calibri"/>
          <w:sz w:val="21"/>
          <w:szCs w:val="21"/>
        </w:rPr>
        <w:t xml:space="preserve">les règles de l'art et les notices de pose des fabricants.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La liste officielle des normes de référence est publiée au Journal officiel par avis relatif à l'application du décret n° 94-699. Ne citez pas de norme abrogée.</w:t>
            </w:r>
          </w:p>
        </w:tc>
      </w:tr>
    </w:tbl>
    <w:p>
      <w:pPr>
        <w:spacing w:after="60"/>
      </w:pPr>
    </w:p>
    <w:p>
      <w:pPr>
        <w:pStyle w:val="Heading1"/>
        <w:spacing w:after="120" w:before="280"/>
      </w:pPr>
      <w:r>
        <w:rPr>
          <w:rFonts w:ascii="Calibri" w:cs="Calibri" w:eastAsia="Calibri" w:hAnsi="Calibri"/>
          <w:b/>
          <w:bCs/>
          <w:color w:val="1D4A23"/>
          <w:sz w:val="28"/>
          <w:szCs w:val="28"/>
        </w:rPr>
        <w:t xml:space="preserve">Article 3. Description du site et contraintes</w:t>
      </w:r>
    </w:p>
    <w:p>
      <w:pPr>
        <w:pStyle w:val="ListParagraph"/>
        <w:numPr>
          <w:ilvl w:val="0"/>
          <w:numId w:val="2"/>
        </w:numPr>
        <w:spacing w:after="60"/>
      </w:pPr>
      <w:r>
        <w:rPr>
          <w:rFonts w:ascii="Calibri" w:cs="Calibri" w:eastAsia="Calibri" w:hAnsi="Calibri"/>
          <w:sz w:val="21"/>
          <w:szCs w:val="21"/>
        </w:rPr>
        <w:t xml:space="preserve">Surface disponible : [x] m², dimensions [x] m par [x] m, plan joint en annexe.</w:t>
      </w:r>
    </w:p>
    <w:p>
      <w:pPr>
        <w:pStyle w:val="ListParagraph"/>
        <w:numPr>
          <w:ilvl w:val="0"/>
          <w:numId w:val="2"/>
        </w:numPr>
        <w:spacing w:after="60"/>
      </w:pPr>
      <w:r>
        <w:rPr>
          <w:rFonts w:ascii="Calibri" w:cs="Calibri" w:eastAsia="Calibri" w:hAnsi="Calibri"/>
          <w:sz w:val="21"/>
          <w:szCs w:val="21"/>
        </w:rPr>
        <w:t xml:space="preserve">Nature du sol existant : [pelouse, enrobé, terre, sable...], pente [x] %.</w:t>
      </w:r>
    </w:p>
    <w:p>
      <w:pPr>
        <w:pStyle w:val="ListParagraph"/>
        <w:numPr>
          <w:ilvl w:val="0"/>
          <w:numId w:val="2"/>
        </w:numPr>
        <w:spacing w:after="60"/>
      </w:pPr>
      <w:r>
        <w:rPr>
          <w:rFonts w:ascii="Calibri" w:cs="Calibri" w:eastAsia="Calibri" w:hAnsi="Calibri"/>
          <w:sz w:val="21"/>
          <w:szCs w:val="21"/>
        </w:rPr>
        <w:t xml:space="preserve">Accès pour la livraison et les engins : [largeur, portance, contraintes horaires].</w:t>
      </w:r>
    </w:p>
    <w:p>
      <w:pPr>
        <w:pStyle w:val="ListParagraph"/>
        <w:numPr>
          <w:ilvl w:val="0"/>
          <w:numId w:val="2"/>
        </w:numPr>
        <w:spacing w:after="60"/>
      </w:pPr>
      <w:r>
        <w:rPr>
          <w:rFonts w:ascii="Calibri" w:cs="Calibri" w:eastAsia="Calibri" w:hAnsi="Calibri"/>
          <w:sz w:val="21"/>
          <w:szCs w:val="21"/>
        </w:rPr>
        <w:t xml:space="preserve">Réseaux connus : [réseaux enterrés, arrosage, éclairage].</w:t>
      </w:r>
    </w:p>
    <w:p>
      <w:pPr>
        <w:pStyle w:val="ListParagraph"/>
        <w:numPr>
          <w:ilvl w:val="0"/>
          <w:numId w:val="2"/>
        </w:numPr>
        <w:spacing w:after="60"/>
      </w:pPr>
      <w:r>
        <w:rPr>
          <w:rFonts w:ascii="Calibri" w:cs="Calibri" w:eastAsia="Calibri" w:hAnsi="Calibri"/>
          <w:sz w:val="21"/>
          <w:szCs w:val="21"/>
        </w:rPr>
        <w:t xml:space="preserve">Environnement : [voirie, parking, point d'eau, arbres] ; les dangers extérieurs sont séparés de l'aire (clôture, haie, portillon) selon [prescription].</w:t>
      </w:r>
    </w:p>
    <w:p>
      <w:pPr>
        <w:pStyle w:val="ListParagraph"/>
        <w:numPr>
          <w:ilvl w:val="0"/>
          <w:numId w:val="2"/>
        </w:numPr>
        <w:spacing w:after="60"/>
      </w:pPr>
      <w:r>
        <w:rPr>
          <w:rFonts w:ascii="Calibri" w:cs="Calibri" w:eastAsia="Calibri" w:hAnsi="Calibri"/>
          <w:sz w:val="21"/>
          <w:szCs w:val="21"/>
        </w:rPr>
        <w:t xml:space="preserve">Ensoleillement et ombrage existant : [description].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Joignez un plan coté et des photos. Un site bien décrit évite les offres non comparables et les avenants.</w:t>
            </w:r>
          </w:p>
        </w:tc>
      </w:tr>
    </w:tbl>
    <w:p>
      <w:pPr>
        <w:spacing w:after="60"/>
      </w:pPr>
    </w:p>
    <w:p>
      <w:pPr>
        <w:pStyle w:val="Heading1"/>
        <w:spacing w:after="120" w:before="280"/>
      </w:pPr>
      <w:r>
        <w:rPr>
          <w:rFonts w:ascii="Calibri" w:cs="Calibri" w:eastAsia="Calibri" w:hAnsi="Calibri"/>
          <w:b/>
          <w:bCs/>
          <w:color w:val="1D4A23"/>
          <w:sz w:val="28"/>
          <w:szCs w:val="28"/>
        </w:rPr>
        <w:t xml:space="preserve">Article 4. Programme des équipements</w:t>
      </w:r>
    </w:p>
    <w:p>
      <w:pPr>
        <w:spacing w:after="120"/>
      </w:pPr>
      <w:r>
        <w:rPr>
          <w:rFonts w:ascii="Calibri" w:cs="Calibri" w:eastAsia="Calibri" w:hAnsi="Calibri"/>
          <w:sz w:val="21"/>
          <w:szCs w:val="21"/>
        </w:rPr>
        <w:t xml:space="preserve">Le titulaire propose une composition répondant au programme fonctionnel suivant :</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1500"/>
        <w:gridCol w:w="1500"/>
        <w:gridCol w:w="3238"/>
        <w:gridCol w:w="1900"/>
        <w:gridCol w:w="1500"/>
      </w:tblGrid>
      <w:tr>
        <w:trPr>
          <w:tblHeader/>
        </w:trPr>
        <w:tc>
          <w:tcPr>
            <w:tcW w:type="dxa" w:w="1500"/>
            <w:shd w:fill="1D4A23" w:color="auto" w:val="clear"/>
            <w:tcMar>
              <w:top w:type="dxa" w:w="60"/>
              <w:left w:type="dxa" w:w="90"/>
              <w:bottom w:type="dxa" w:w="60"/>
              <w:right w:type="dxa" w:w="90"/>
            </w:tcMar>
          </w:tcPr>
          <w:p>
            <w:r>
              <w:rPr>
                <w:rFonts w:ascii="Calibri" w:cs="Calibri" w:eastAsia="Calibri" w:hAnsi="Calibri"/>
                <w:b/>
                <w:bCs/>
                <w:color w:val="FFFFFF"/>
                <w:sz w:val="19"/>
                <w:szCs w:val="19"/>
              </w:rPr>
              <w:t xml:space="preserve">Espace</w:t>
            </w:r>
          </w:p>
        </w:tc>
        <w:tc>
          <w:tcPr>
            <w:tcW w:type="dxa" w:w="1500"/>
            <w:shd w:fill="1D4A23" w:color="auto" w:val="clear"/>
            <w:tcMar>
              <w:top w:type="dxa" w:w="60"/>
              <w:left w:type="dxa" w:w="90"/>
              <w:bottom w:type="dxa" w:w="60"/>
              <w:right w:type="dxa" w:w="90"/>
            </w:tcMar>
          </w:tcPr>
          <w:p>
            <w:r>
              <w:rPr>
                <w:rFonts w:ascii="Calibri" w:cs="Calibri" w:eastAsia="Calibri" w:hAnsi="Calibri"/>
                <w:b/>
                <w:bCs/>
                <w:color w:val="FFFFFF"/>
                <w:sz w:val="19"/>
                <w:szCs w:val="19"/>
              </w:rPr>
              <w:t xml:space="preserve">Tranche d'âge</w:t>
            </w:r>
          </w:p>
        </w:tc>
        <w:tc>
          <w:tcPr>
            <w:tcW w:type="dxa" w:w="3238"/>
            <w:shd w:fill="1D4A23" w:color="auto" w:val="clear"/>
            <w:tcMar>
              <w:top w:type="dxa" w:w="60"/>
              <w:left w:type="dxa" w:w="90"/>
              <w:bottom w:type="dxa" w:w="60"/>
              <w:right w:type="dxa" w:w="90"/>
            </w:tcMar>
          </w:tcPr>
          <w:p>
            <w:r>
              <w:rPr>
                <w:rFonts w:ascii="Calibri" w:cs="Calibri" w:eastAsia="Calibri" w:hAnsi="Calibri"/>
                <w:b/>
                <w:bCs/>
                <w:color w:val="FFFFFF"/>
                <w:sz w:val="19"/>
                <w:szCs w:val="19"/>
              </w:rPr>
              <w:t xml:space="preserve">Fonctions ludiques attendues</w:t>
            </w:r>
          </w:p>
        </w:tc>
        <w:tc>
          <w:tcPr>
            <w:tcW w:type="dxa" w:w="1900"/>
            <w:shd w:fill="1D4A23" w:color="auto" w:val="clear"/>
            <w:tcMar>
              <w:top w:type="dxa" w:w="60"/>
              <w:left w:type="dxa" w:w="90"/>
              <w:bottom w:type="dxa" w:w="60"/>
              <w:right w:type="dxa" w:w="90"/>
            </w:tcMar>
          </w:tcPr>
          <w:p>
            <w:r>
              <w:rPr>
                <w:rFonts w:ascii="Calibri" w:cs="Calibri" w:eastAsia="Calibri" w:hAnsi="Calibri"/>
                <w:b/>
                <w:bCs/>
                <w:color w:val="FFFFFF"/>
                <w:sz w:val="19"/>
                <w:szCs w:val="19"/>
              </w:rPr>
              <w:t xml:space="preserve">Hauteur de chute libre maximale</w:t>
            </w:r>
          </w:p>
        </w:tc>
        <w:tc>
          <w:tcPr>
            <w:tcW w:type="dxa" w:w="1500"/>
            <w:shd w:fill="1D4A23" w:color="auto" w:val="clear"/>
            <w:tcMar>
              <w:top w:type="dxa" w:w="60"/>
              <w:left w:type="dxa" w:w="90"/>
              <w:bottom w:type="dxa" w:w="60"/>
              <w:right w:type="dxa" w:w="90"/>
            </w:tcMar>
          </w:tcPr>
          <w:p>
            <w:r>
              <w:rPr>
                <w:rFonts w:ascii="Calibri" w:cs="Calibri" w:eastAsia="Calibri" w:hAnsi="Calibri"/>
                <w:b/>
                <w:bCs/>
                <w:color w:val="FFFFFF"/>
                <w:sz w:val="19"/>
                <w:szCs w:val="19"/>
              </w:rPr>
              <w:t xml:space="preserve">Capacité indicative</w:t>
            </w:r>
          </w:p>
        </w:tc>
      </w:tr>
      <w:tr>
        <w:trPr>
          <w:tblHeader w:val="false"/>
        </w:trPr>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Espace 1</w:t>
            </w:r>
          </w:p>
        </w:tc>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[1 à 6 ans]</w:t>
            </w:r>
          </w:p>
        </w:tc>
        <w:tc>
          <w:tcPr>
            <w:tcW w:type="dxa" w:w="3238"/>
            <w:tcMar>
              <w:top w:type="dxa" w:w="60"/>
              <w:left w:type="dxa" w:w="90"/>
              <w:bottom w:type="dxa" w:w="60"/>
              <w:right w:type="dxa" w:w="90"/>
            </w:tcMar>
          </w:tcPr>
          <w:p>
            <w:r>
              <w:rPr>
                <w:rFonts w:ascii="Calibri" w:cs="Calibri" w:eastAsia="Calibri" w:hAnsi="Calibri"/>
                <w:b w:val="false"/>
                <w:bCs w:val="false"/>
                <w:color w:val="25312A"/>
                <w:sz w:val="19"/>
                <w:szCs w:val="19"/>
              </w:rPr>
              <w:t xml:space="preserve">[glisser, grimper, équilibre, jeu d'imitation]</w:t>
            </w:r>
          </w:p>
        </w:tc>
        <w:tc>
          <w:tcPr>
            <w:tcW w:type="dxa" w:w="1900"/>
            <w:tcMar>
              <w:top w:type="dxa" w:w="60"/>
              <w:left w:type="dxa" w:w="90"/>
              <w:bottom w:type="dxa" w:w="60"/>
              <w:right w:type="dxa" w:w="90"/>
            </w:tcMar>
          </w:tcPr>
          <w:p>
            <w:r>
              <w:rPr>
                <w:rFonts w:ascii="Calibri" w:cs="Calibri" w:eastAsia="Calibri" w:hAnsi="Calibri"/>
                <w:b w:val="false"/>
                <w:bCs w:val="false"/>
                <w:color w:val="25312A"/>
                <w:sz w:val="19"/>
                <w:szCs w:val="19"/>
              </w:rPr>
              <w:t xml:space="preserve">[1,00 m]</w:t>
            </w:r>
          </w:p>
        </w:tc>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[10 enfants]</w:t>
            </w:r>
          </w:p>
        </w:tc>
      </w:tr>
      <w:tr>
        <w:trPr>
          <w:tblHeader w:val="false"/>
        </w:trPr>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Espace 2</w:t>
            </w:r>
          </w:p>
        </w:tc>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[6 à 12 ans]</w:t>
            </w:r>
          </w:p>
        </w:tc>
        <w:tc>
          <w:tcPr>
            <w:tcW w:type="dxa" w:w="3238"/>
            <w:tcMar>
              <w:top w:type="dxa" w:w="60"/>
              <w:left w:type="dxa" w:w="90"/>
              <w:bottom w:type="dxa" w:w="60"/>
              <w:right w:type="dxa" w:w="90"/>
            </w:tcMar>
          </w:tcPr>
          <w:p>
            <w:r>
              <w:rPr>
                <w:rFonts w:ascii="Calibri" w:cs="Calibri" w:eastAsia="Calibri" w:hAnsi="Calibri"/>
                <w:b w:val="false"/>
                <w:bCs w:val="false"/>
                <w:color w:val="25312A"/>
                <w:sz w:val="19"/>
                <w:szCs w:val="19"/>
              </w:rPr>
              <w:t xml:space="preserve">[grimper, se balancer, tourner, défi]</w:t>
            </w:r>
          </w:p>
        </w:tc>
        <w:tc>
          <w:tcPr>
            <w:tcW w:type="dxa" w:w="1900"/>
            <w:tcMar>
              <w:top w:type="dxa" w:w="60"/>
              <w:left w:type="dxa" w:w="90"/>
              <w:bottom w:type="dxa" w:w="60"/>
              <w:right w:type="dxa" w:w="90"/>
            </w:tcMar>
          </w:tcPr>
          <w:p>
            <w:r>
              <w:rPr>
                <w:rFonts w:ascii="Calibri" w:cs="Calibri" w:eastAsia="Calibri" w:hAnsi="Calibri"/>
                <w:b w:val="false"/>
                <w:bCs w:val="false"/>
                <w:color w:val="25312A"/>
                <w:sz w:val="19"/>
                <w:szCs w:val="19"/>
              </w:rPr>
              <w:t xml:space="preserve">[2,00 m]</w:t>
            </w:r>
          </w:p>
        </w:tc>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[15 enfants]</w:t>
            </w:r>
          </w:p>
        </w:tc>
      </w:tr>
      <w:tr>
        <w:trPr>
          <w:tblHeader w:val="false"/>
        </w:trPr>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Espace 3</w:t>
            </w:r>
          </w:p>
        </w:tc>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[option : ados, inclusif]</w:t>
            </w:r>
          </w:p>
        </w:tc>
        <w:tc>
          <w:tcPr>
            <w:tcW w:type="dxa" w:w="3238"/>
            <w:tcMar>
              <w:top w:type="dxa" w:w="60"/>
              <w:left w:type="dxa" w:w="90"/>
              <w:bottom w:type="dxa" w:w="60"/>
              <w:right w:type="dxa" w:w="90"/>
            </w:tcMar>
          </w:tcPr>
          <w:p>
            <w:r>
              <w:rPr>
                <w:rFonts w:ascii="Calibri" w:cs="Calibri" w:eastAsia="Calibri" w:hAnsi="Calibri"/>
                <w:b w:val="false"/>
                <w:bCs w:val="false"/>
                <w:color w:val="25312A"/>
                <w:sz w:val="19"/>
                <w:szCs w:val="19"/>
              </w:rPr>
              <w:t xml:space="preserve">[à définir]</w:t>
            </w:r>
          </w:p>
        </w:tc>
        <w:tc>
          <w:tcPr>
            <w:tcW w:type="dxa" w:w="1900"/>
            <w:tcMar>
              <w:top w:type="dxa" w:w="60"/>
              <w:left w:type="dxa" w:w="90"/>
              <w:bottom w:type="dxa" w:w="60"/>
              <w:right w:type="dxa" w:w="90"/>
            </w:tcMar>
          </w:tcPr>
          <w:p>
            <w:r>
              <w:rPr>
                <w:rFonts w:ascii="Calibri" w:cs="Calibri" w:eastAsia="Calibri" w:hAnsi="Calibri"/>
                <w:b w:val="false"/>
                <w:bCs w:val="false"/>
                <w:color w:val="25312A"/>
                <w:sz w:val="19"/>
                <w:szCs w:val="19"/>
              </w:rPr>
              <w:t xml:space="preserve">[à définir]</w:t>
            </w:r>
          </w:p>
        </w:tc>
        <w:tc>
          <w:tcPr>
            <w:tcW w:type="dxa" w:w="1500"/>
            <w:tcMar>
              <w:top w:type="dxa" w:w="60"/>
              <w:left w:type="dxa" w:w="90"/>
              <w:bottom w:type="dxa" w:w="60"/>
              <w:right w:type="dxa" w:w="90"/>
            </w:tcMar>
          </w:tcPr>
          <w:p>
            <w:r>
              <w:rPr>
                <w:rFonts w:ascii="Calibri" w:cs="Calibri" w:eastAsia="Calibri" w:hAnsi="Calibri"/>
                <w:b w:val="false"/>
                <w:bCs w:val="false"/>
                <w:color w:val="25312A"/>
                <w:sz w:val="19"/>
                <w:szCs w:val="19"/>
              </w:rPr>
              <w:t xml:space="preserve">[à définir]</w:t>
            </w:r>
          </w:p>
        </w:tc>
      </w:tr>
    </w:tbl>
    <w:p>
      <w:pPr>
        <w:spacing w:after="120"/>
      </w:pPr>
    </w:p>
    <w:p>
      <w:pPr>
        <w:spacing w:after="120"/>
      </w:pPr>
      <w:r>
        <w:rPr>
          <w:rFonts w:ascii="Calibri" w:cs="Calibri" w:eastAsia="Calibri" w:hAnsi="Calibri"/>
          <w:sz w:val="21"/>
          <w:szCs w:val="21"/>
        </w:rPr>
        <w:t xml:space="preserve">Accessibilité : [au moins x fonctions de jeu accessibles depuis un fauteuil roulant ; cheminement accessible jusqu'aux jeux].</w:t>
      </w:r>
    </w:p>
    <w:p>
      <w:pPr>
        <w:spacing w:after="120"/>
      </w:pPr>
      <w:r>
        <w:rPr>
          <w:rFonts w:ascii="Calibri" w:cs="Calibri" w:eastAsia="Calibri" w:hAnsi="Calibri"/>
          <w:sz w:val="21"/>
          <w:szCs w:val="21"/>
        </w:rPr>
        <w:t xml:space="preserve">Matériau dominant souhaité : [bois / métal / mixte], ambiance : [naturelle / colorée / thématique].</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Décrivez des fonctions et des publics, jamais un modèle ou une marque. L'article R2111-7 du code de la commande publique interdit de citer une marque, sauf exception justifiée et accompagnée de la mention « ou équivalent ».</w:t>
            </w:r>
          </w:p>
        </w:tc>
      </w:tr>
    </w:tbl>
    <w:p>
      <w:pPr>
        <w:spacing w:after="60"/>
      </w:pPr>
    </w:p>
    <w:p>
      <w:pPr>
        <w:pStyle w:val="Heading1"/>
        <w:spacing w:after="120" w:before="280"/>
      </w:pPr>
      <w:r>
        <w:rPr>
          <w:rFonts w:ascii="Calibri" w:cs="Calibri" w:eastAsia="Calibri" w:hAnsi="Calibri"/>
          <w:b/>
          <w:bCs/>
          <w:color w:val="1D4A23"/>
          <w:sz w:val="28"/>
          <w:szCs w:val="28"/>
        </w:rPr>
        <w:t xml:space="preserve">Article 5. Prescriptions sur les matériaux</w:t>
      </w:r>
    </w:p>
    <w:p>
      <w:pPr>
        <w:pStyle w:val="ListParagraph"/>
        <w:numPr>
          <w:ilvl w:val="0"/>
          <w:numId w:val="2"/>
        </w:numPr>
        <w:spacing w:after="60"/>
      </w:pPr>
      <w:r>
        <w:rPr>
          <w:rFonts w:ascii="Calibri" w:cs="Calibri" w:eastAsia="Calibri" w:hAnsi="Calibri"/>
          <w:sz w:val="21"/>
          <w:szCs w:val="21"/>
        </w:rPr>
        <w:t xml:space="preserve">Bois : essence [robinier, douglas, pin traité...], durabilité naturelle ou conférée adaptée à la classe d'emploi (bois en contact avec le sol : classe d'emploi 4) ; absence d'échardes, arêtes arrondies.</w:t>
      </w:r>
    </w:p>
    <w:p>
      <w:pPr>
        <w:pStyle w:val="ListParagraph"/>
        <w:numPr>
          <w:ilvl w:val="0"/>
          <w:numId w:val="2"/>
        </w:numPr>
        <w:spacing w:after="60"/>
      </w:pPr>
      <w:r>
        <w:rPr>
          <w:rFonts w:ascii="Calibri" w:cs="Calibri" w:eastAsia="Calibri" w:hAnsi="Calibri"/>
          <w:sz w:val="21"/>
          <w:szCs w:val="21"/>
        </w:rPr>
        <w:t xml:space="preserve">Métal : acier galvanisé à chaud selon NF EN ISO 1461, avec ou sans thermolaquage, ou acier inoxydable.</w:t>
      </w:r>
    </w:p>
    <w:p>
      <w:pPr>
        <w:pStyle w:val="ListParagraph"/>
        <w:numPr>
          <w:ilvl w:val="0"/>
          <w:numId w:val="2"/>
        </w:numPr>
        <w:spacing w:after="60"/>
      </w:pPr>
      <w:r>
        <w:rPr>
          <w:rFonts w:ascii="Calibri" w:cs="Calibri" w:eastAsia="Calibri" w:hAnsi="Calibri"/>
          <w:sz w:val="21"/>
          <w:szCs w:val="21"/>
        </w:rPr>
        <w:t xml:space="preserve">Plastiques : polyéthylène haute densité teinté dans la masse et traité anti-UV.</w:t>
      </w:r>
    </w:p>
    <w:p>
      <w:pPr>
        <w:pStyle w:val="ListParagraph"/>
        <w:numPr>
          <w:ilvl w:val="0"/>
          <w:numId w:val="2"/>
        </w:numPr>
        <w:spacing w:after="60"/>
      </w:pPr>
      <w:r>
        <w:rPr>
          <w:rFonts w:ascii="Calibri" w:cs="Calibri" w:eastAsia="Calibri" w:hAnsi="Calibri"/>
          <w:sz w:val="21"/>
          <w:szCs w:val="21"/>
        </w:rPr>
        <w:t xml:space="preserve">Cordages : câble à âme acier gainé, sertissages protégés.</w:t>
      </w:r>
    </w:p>
    <w:p>
      <w:pPr>
        <w:pStyle w:val="ListParagraph"/>
        <w:numPr>
          <w:ilvl w:val="0"/>
          <w:numId w:val="2"/>
        </w:numPr>
        <w:spacing w:after="60"/>
      </w:pPr>
      <w:r>
        <w:rPr>
          <w:rFonts w:ascii="Calibri" w:cs="Calibri" w:eastAsia="Calibri" w:hAnsi="Calibri"/>
          <w:sz w:val="21"/>
          <w:szCs w:val="21"/>
        </w:rPr>
        <w:t xml:space="preserve">Visserie : inoxydable ou protégée contre la corrosion, têtes protégées, démontage avec outil spécifique.</w:t>
      </w:r>
    </w:p>
    <w:p>
      <w:pPr>
        <w:pStyle w:val="ListParagraph"/>
        <w:numPr>
          <w:ilvl w:val="0"/>
          <w:numId w:val="2"/>
        </w:numPr>
        <w:spacing w:after="60"/>
      </w:pPr>
      <w:r>
        <w:rPr>
          <w:rFonts w:ascii="Calibri" w:cs="Calibri" w:eastAsia="Calibri" w:hAnsi="Calibri"/>
          <w:sz w:val="21"/>
          <w:szCs w:val="21"/>
        </w:rPr>
        <w:t xml:space="preserve">Ancrages : selon notice du fabricant, fondations hors zone d'impact ou recouvertes conformément à la NF EN 1176-1.</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Le choix du bois pèse sur la durée de vie : le robinier est naturellement durable ; un pin doit être traité en autoclave. Demandez la fiche technique de chaque matériau dans l'offre.</w:t>
            </w:r>
          </w:p>
        </w:tc>
      </w:tr>
    </w:tbl>
    <w:p>
      <w:pPr>
        <w:spacing w:after="60"/>
      </w:pPr>
    </w:p>
    <w:p>
      <w:pPr>
        <w:pStyle w:val="Heading1"/>
        <w:spacing w:after="120" w:before="280"/>
      </w:pPr>
      <w:r>
        <w:rPr>
          <w:rFonts w:ascii="Calibri" w:cs="Calibri" w:eastAsia="Calibri" w:hAnsi="Calibri"/>
          <w:b/>
          <w:bCs/>
          <w:color w:val="1D4A23"/>
          <w:sz w:val="28"/>
          <w:szCs w:val="28"/>
        </w:rPr>
        <w:t xml:space="preserve">Article 6. Sols amortissants</w:t>
      </w:r>
    </w:p>
    <w:p>
      <w:pPr>
        <w:pStyle w:val="ListParagraph"/>
        <w:numPr>
          <w:ilvl w:val="0"/>
          <w:numId w:val="2"/>
        </w:numPr>
        <w:spacing w:after="60"/>
      </w:pPr>
      <w:r>
        <w:rPr>
          <w:rFonts w:ascii="Calibri" w:cs="Calibri" w:eastAsia="Calibri" w:hAnsi="Calibri"/>
          <w:sz w:val="21"/>
          <w:szCs w:val="21"/>
        </w:rPr>
        <w:t xml:space="preserve">Chaque zone d'impact reçoit un sol amortissant conforme à la NF EN 1177, dont la hauteur de chute critique (HCC) est au moins égale à la hauteur de chute libre de l'équipement concerné.</w:t>
      </w:r>
    </w:p>
    <w:p>
      <w:pPr>
        <w:pStyle w:val="ListParagraph"/>
        <w:numPr>
          <w:ilvl w:val="0"/>
          <w:numId w:val="2"/>
        </w:numPr>
        <w:spacing w:after="60"/>
      </w:pPr>
      <w:r>
        <w:rPr>
          <w:rFonts w:ascii="Calibri" w:cs="Calibri" w:eastAsia="Calibri" w:hAnsi="Calibri"/>
          <w:sz w:val="21"/>
          <w:szCs w:val="21"/>
        </w:rPr>
        <w:t xml:space="preserve">Les dimensions des zones d'impact respectent la NF EN 1176-1 et la notice de chaque équipement.</w:t>
      </w:r>
    </w:p>
    <w:p>
      <w:pPr>
        <w:pStyle w:val="ListParagraph"/>
        <w:numPr>
          <w:ilvl w:val="0"/>
          <w:numId w:val="2"/>
        </w:numPr>
        <w:spacing w:after="60"/>
      </w:pPr>
      <w:r>
        <w:rPr>
          <w:rFonts w:ascii="Calibri" w:cs="Calibri" w:eastAsia="Calibri" w:hAnsi="Calibri"/>
          <w:sz w:val="21"/>
          <w:szCs w:val="21"/>
        </w:rPr>
        <w:t xml:space="preserve">Type de sol souhaité : [sol coulé, dalles, dalles alvéolées engazonnées, gazon synthétique amortissant, copeaux...] ; les variantes de sol sont [autorisées / non autorisées].</w:t>
      </w:r>
    </w:p>
    <w:p>
      <w:pPr>
        <w:pStyle w:val="ListParagraph"/>
        <w:numPr>
          <w:ilvl w:val="0"/>
          <w:numId w:val="2"/>
        </w:numPr>
        <w:spacing w:after="60"/>
      </w:pPr>
      <w:r>
        <w:rPr>
          <w:rFonts w:ascii="Calibri" w:cs="Calibri" w:eastAsia="Calibri" w:hAnsi="Calibri"/>
          <w:sz w:val="21"/>
          <w:szCs w:val="21"/>
        </w:rPr>
        <w:t xml:space="preserve">Pour les sols synthétiques, le titulaire fournit le rapport d'essai EN 1177 du produit et réalise, à la réception, un essai d'amortissement sur site par un organisme indépendant [à préciser].</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Le sol représente souvent 20 à 30 % du budget. Autoriser les variantes permet de comparer des solutions drainantes, moins chères que le sol coulé.</w:t>
            </w:r>
          </w:p>
        </w:tc>
      </w:tr>
    </w:tbl>
    <w:p>
      <w:pPr>
        <w:spacing w:after="60"/>
      </w:pPr>
    </w:p>
    <w:p>
      <w:pPr>
        <w:pStyle w:val="Heading1"/>
        <w:spacing w:after="120" w:before="280"/>
      </w:pPr>
      <w:r>
        <w:rPr>
          <w:rFonts w:ascii="Calibri" w:cs="Calibri" w:eastAsia="Calibri" w:hAnsi="Calibri"/>
          <w:b/>
          <w:bCs/>
          <w:color w:val="1D4A23"/>
          <w:sz w:val="28"/>
          <w:szCs w:val="28"/>
        </w:rPr>
        <w:t xml:space="preserve">Article 7. Travaux préparatoires et pose</w:t>
      </w:r>
    </w:p>
    <w:p>
      <w:pPr>
        <w:pStyle w:val="ListParagraph"/>
        <w:numPr>
          <w:ilvl w:val="0"/>
          <w:numId w:val="2"/>
        </w:numPr>
        <w:spacing w:after="60"/>
      </w:pPr>
      <w:r>
        <w:rPr>
          <w:rFonts w:ascii="Calibri" w:cs="Calibri" w:eastAsia="Calibri" w:hAnsi="Calibri"/>
          <w:sz w:val="21"/>
          <w:szCs w:val="21"/>
        </w:rPr>
        <w:t xml:space="preserve">Implantation contradictoire avec le maître d'ouvrage avant travaux.</w:t>
      </w:r>
    </w:p>
    <w:p>
      <w:pPr>
        <w:pStyle w:val="ListParagraph"/>
        <w:numPr>
          <w:ilvl w:val="0"/>
          <w:numId w:val="2"/>
        </w:numPr>
        <w:spacing w:after="60"/>
      </w:pPr>
      <w:r>
        <w:rPr>
          <w:rFonts w:ascii="Calibri" w:cs="Calibri" w:eastAsia="Calibri" w:hAnsi="Calibri"/>
          <w:sz w:val="21"/>
          <w:szCs w:val="21"/>
        </w:rPr>
        <w:t xml:space="preserve">Déclarations préalables aux travaux à proximité des réseaux (DT-DICT) à la charge du titulaire.</w:t>
      </w:r>
    </w:p>
    <w:p>
      <w:pPr>
        <w:pStyle w:val="ListParagraph"/>
        <w:numPr>
          <w:ilvl w:val="0"/>
          <w:numId w:val="2"/>
        </w:numPr>
        <w:spacing w:after="60"/>
      </w:pPr>
      <w:r>
        <w:rPr>
          <w:rFonts w:ascii="Calibri" w:cs="Calibri" w:eastAsia="Calibri" w:hAnsi="Calibri"/>
          <w:sz w:val="21"/>
          <w:szCs w:val="21"/>
        </w:rPr>
        <w:t xml:space="preserve">Terrassements, fondations, évacuation des déblais en filière agréée.</w:t>
      </w:r>
    </w:p>
    <w:p>
      <w:pPr>
        <w:pStyle w:val="ListParagraph"/>
        <w:numPr>
          <w:ilvl w:val="0"/>
          <w:numId w:val="2"/>
        </w:numPr>
        <w:spacing w:after="60"/>
      </w:pPr>
      <w:r>
        <w:rPr>
          <w:rFonts w:ascii="Calibri" w:cs="Calibri" w:eastAsia="Calibri" w:hAnsi="Calibri"/>
          <w:sz w:val="21"/>
          <w:szCs w:val="21"/>
        </w:rPr>
        <w:t xml:space="preserve">Protection des arbres et des ouvrages existants ; remise en état des abords en fin de chantier.</w:t>
      </w:r>
    </w:p>
    <w:p>
      <w:pPr>
        <w:pStyle w:val="ListParagraph"/>
        <w:numPr>
          <w:ilvl w:val="0"/>
          <w:numId w:val="2"/>
        </w:numPr>
        <w:spacing w:after="60"/>
      </w:pPr>
      <w:r>
        <w:rPr>
          <w:rFonts w:ascii="Calibri" w:cs="Calibri" w:eastAsia="Calibri" w:hAnsi="Calibri"/>
          <w:sz w:val="21"/>
          <w:szCs w:val="21"/>
        </w:rPr>
        <w:t xml:space="preserve">Balisage et fermeture du chantier au public pendant toute la durée des travaux.</w:t>
      </w:r>
    </w:p>
    <w:p>
      <w:pPr>
        <w:pStyle w:val="Heading1"/>
        <w:spacing w:after="120" w:before="280"/>
      </w:pPr>
      <w:r>
        <w:rPr>
          <w:rFonts w:ascii="Calibri" w:cs="Calibri" w:eastAsia="Calibri" w:hAnsi="Calibri"/>
          <w:b/>
          <w:bCs/>
          <w:color w:val="1D4A23"/>
          <w:sz w:val="28"/>
          <w:szCs w:val="28"/>
        </w:rPr>
        <w:t xml:space="preserve">Article 8. Signalétique</w:t>
      </w:r>
    </w:p>
    <w:p>
      <w:pPr>
        <w:spacing w:after="120"/>
      </w:pPr>
      <w:r>
        <w:rPr>
          <w:rFonts w:ascii="Calibri" w:cs="Calibri" w:eastAsia="Calibri" w:hAnsi="Calibri"/>
          <w:sz w:val="21"/>
          <w:szCs w:val="21"/>
        </w:rPr>
        <w:t xml:space="preserve">Le titulaire fournit et pose [nombre] panneau(x) d'information à l'entrée de l'aire, indiquant au minimum : les coordonnées du gestionnaire, le numéro d'appel d'urgence et les tranches d'âge. Chaque équipement porte l'indication de sa tranche d'âge.</w:t>
      </w:r>
    </w:p>
    <w:p>
      <w:pPr>
        <w:pStyle w:val="Heading1"/>
        <w:spacing w:after="120" w:before="280"/>
      </w:pPr>
      <w:r>
        <w:rPr>
          <w:rFonts w:ascii="Calibri" w:cs="Calibri" w:eastAsia="Calibri" w:hAnsi="Calibri"/>
          <w:b/>
          <w:bCs/>
          <w:color w:val="1D4A23"/>
          <w:sz w:val="28"/>
          <w:szCs w:val="28"/>
        </w:rPr>
        <w:t xml:space="preserve">Article 9. Réception</w:t>
      </w:r>
    </w:p>
    <w:p>
      <w:pPr>
        <w:pStyle w:val="ListParagraph"/>
        <w:numPr>
          <w:ilvl w:val="0"/>
          <w:numId w:val="2"/>
        </w:numPr>
        <w:spacing w:after="60"/>
      </w:pPr>
      <w:r>
        <w:rPr>
          <w:rFonts w:ascii="Calibri" w:cs="Calibri" w:eastAsia="Calibri" w:hAnsi="Calibri"/>
          <w:sz w:val="21"/>
          <w:szCs w:val="21"/>
        </w:rPr>
        <w:t xml:space="preserve">Avant la réception, l'aire fait l'objet d'une inspection de conformité par un organisme indépendant [à la charge du titulaire / du maître d'ouvrage].</w:t>
      </w:r>
    </w:p>
    <w:p>
      <w:pPr>
        <w:pStyle w:val="ListParagraph"/>
        <w:numPr>
          <w:ilvl w:val="0"/>
          <w:numId w:val="2"/>
        </w:numPr>
        <w:spacing w:after="60"/>
      </w:pPr>
      <w:r>
        <w:rPr>
          <w:rFonts w:ascii="Calibri" w:cs="Calibri" w:eastAsia="Calibri" w:hAnsi="Calibri"/>
          <w:sz w:val="21"/>
          <w:szCs w:val="21"/>
        </w:rPr>
        <w:t xml:space="preserve">Les non-conformités relevées sont levées par le titulaire, à ses frais, avant l'ouverture au public.</w:t>
      </w:r>
    </w:p>
    <w:p>
      <w:pPr>
        <w:pStyle w:val="ListParagraph"/>
        <w:numPr>
          <w:ilvl w:val="0"/>
          <w:numId w:val="2"/>
        </w:numPr>
        <w:spacing w:after="60"/>
      </w:pPr>
      <w:r>
        <w:rPr>
          <w:rFonts w:ascii="Calibri" w:cs="Calibri" w:eastAsia="Calibri" w:hAnsi="Calibri"/>
          <w:sz w:val="21"/>
          <w:szCs w:val="21"/>
        </w:rPr>
        <w:t xml:space="preserve">L'aire n'est ouverte au public qu'après levée des réserves portant sur la sécurité.</w:t>
      </w:r>
    </w:p>
    <w:p>
      <w:pPr>
        <w:pStyle w:val="Heading1"/>
        <w:spacing w:after="120" w:before="280"/>
      </w:pPr>
      <w:r>
        <w:rPr>
          <w:rFonts w:ascii="Calibri" w:cs="Calibri" w:eastAsia="Calibri" w:hAnsi="Calibri"/>
          <w:b/>
          <w:bCs/>
          <w:color w:val="1D4A23"/>
          <w:sz w:val="28"/>
          <w:szCs w:val="28"/>
        </w:rPr>
        <w:t xml:space="preserve">Article 10. Dossier des ouvrages exécutés</w:t>
      </w:r>
    </w:p>
    <w:p>
      <w:pPr>
        <w:spacing w:after="120"/>
      </w:pPr>
      <w:r>
        <w:rPr>
          <w:rFonts w:ascii="Calibri" w:cs="Calibri" w:eastAsia="Calibri" w:hAnsi="Calibri"/>
          <w:sz w:val="21"/>
          <w:szCs w:val="21"/>
        </w:rPr>
        <w:t xml:space="preserve">À la réception, le titulaire remet :</w:t>
      </w:r>
    </w:p>
    <w:p>
      <w:pPr>
        <w:pStyle w:val="ListParagraph"/>
        <w:numPr>
          <w:ilvl w:val="0"/>
          <w:numId w:val="2"/>
        </w:numPr>
        <w:spacing w:after="60"/>
      </w:pPr>
      <w:r>
        <w:rPr>
          <w:rFonts w:ascii="Calibri" w:cs="Calibri" w:eastAsia="Calibri" w:hAnsi="Calibri"/>
          <w:sz w:val="21"/>
          <w:szCs w:val="21"/>
        </w:rPr>
        <w:t xml:space="preserve">le plan de récolement de l'aire (implantation, zones d'impact, réseaux) ;</w:t>
      </w:r>
    </w:p>
    <w:p>
      <w:pPr>
        <w:pStyle w:val="ListParagraph"/>
        <w:numPr>
          <w:ilvl w:val="0"/>
          <w:numId w:val="2"/>
        </w:numPr>
        <w:spacing w:after="60"/>
      </w:pPr>
      <w:r>
        <w:rPr>
          <w:rFonts w:ascii="Calibri" w:cs="Calibri" w:eastAsia="Calibri" w:hAnsi="Calibri"/>
          <w:sz w:val="21"/>
          <w:szCs w:val="21"/>
        </w:rPr>
        <w:t xml:space="preserve">les certificats ou rapports d'essais de conformité de chaque équipement et du sol ;</w:t>
      </w:r>
    </w:p>
    <w:p>
      <w:pPr>
        <w:pStyle w:val="ListParagraph"/>
        <w:numPr>
          <w:ilvl w:val="0"/>
          <w:numId w:val="2"/>
        </w:numPr>
        <w:spacing w:after="60"/>
      </w:pPr>
      <w:r>
        <w:rPr>
          <w:rFonts w:ascii="Calibri" w:cs="Calibri" w:eastAsia="Calibri" w:hAnsi="Calibri"/>
          <w:sz w:val="21"/>
          <w:szCs w:val="21"/>
        </w:rPr>
        <w:t xml:space="preserve">les notices de montage, d'entretien et d'inspection ;</w:t>
      </w:r>
    </w:p>
    <w:p>
      <w:pPr>
        <w:pStyle w:val="ListParagraph"/>
        <w:numPr>
          <w:ilvl w:val="0"/>
          <w:numId w:val="2"/>
        </w:numPr>
        <w:spacing w:after="60"/>
      </w:pPr>
      <w:r>
        <w:rPr>
          <w:rFonts w:ascii="Calibri" w:cs="Calibri" w:eastAsia="Calibri" w:hAnsi="Calibri"/>
          <w:sz w:val="21"/>
          <w:szCs w:val="21"/>
        </w:rPr>
        <w:t xml:space="preserve">la liste des pièces d'usure et des pièces détachées, avec leurs références ;</w:t>
      </w:r>
    </w:p>
    <w:p>
      <w:pPr>
        <w:pStyle w:val="ListParagraph"/>
        <w:numPr>
          <w:ilvl w:val="0"/>
          <w:numId w:val="2"/>
        </w:numPr>
        <w:spacing w:after="60"/>
      </w:pPr>
      <w:r>
        <w:rPr>
          <w:rFonts w:ascii="Calibri" w:cs="Calibri" w:eastAsia="Calibri" w:hAnsi="Calibri"/>
          <w:sz w:val="21"/>
          <w:szCs w:val="21"/>
        </w:rPr>
        <w:t xml:space="preserve">une proposition de plan d'entretien et de maintenance conforme au décret n° 96-1136.</w:t>
      </w:r>
    </w:p>
    <w:p>
      <w:pPr>
        <w:pStyle w:val="Heading1"/>
        <w:spacing w:after="120" w:before="280"/>
      </w:pPr>
      <w:r>
        <w:rPr>
          <w:rFonts w:ascii="Calibri" w:cs="Calibri" w:eastAsia="Calibri" w:hAnsi="Calibri"/>
          <w:b/>
          <w:bCs/>
          <w:color w:val="1D4A23"/>
          <w:sz w:val="28"/>
          <w:szCs w:val="28"/>
        </w:rPr>
        <w:t xml:space="preserve">Article 11. Garanties et pièces détachées</w:t>
      </w:r>
    </w:p>
    <w:p>
      <w:pPr>
        <w:pStyle w:val="ListParagraph"/>
        <w:numPr>
          <w:ilvl w:val="0"/>
          <w:numId w:val="2"/>
        </w:numPr>
        <w:spacing w:after="60"/>
      </w:pPr>
      <w:r>
        <w:rPr>
          <w:rFonts w:ascii="Calibri" w:cs="Calibri" w:eastAsia="Calibri" w:hAnsi="Calibri"/>
          <w:sz w:val="21"/>
          <w:szCs w:val="21"/>
        </w:rPr>
        <w:t xml:space="preserve">Garanties minimales demandées : structures [x] ans, pièces d'usure [x] ans, sol [x] ans, à préciser dans l'offre.</w:t>
      </w:r>
    </w:p>
    <w:p>
      <w:pPr>
        <w:pStyle w:val="ListParagraph"/>
        <w:numPr>
          <w:ilvl w:val="0"/>
          <w:numId w:val="2"/>
        </w:numPr>
        <w:spacing w:after="60"/>
      </w:pPr>
      <w:r>
        <w:rPr>
          <w:rFonts w:ascii="Calibri" w:cs="Calibri" w:eastAsia="Calibri" w:hAnsi="Calibri"/>
          <w:sz w:val="21"/>
          <w:szCs w:val="21"/>
        </w:rPr>
        <w:t xml:space="preserve">Disponibilité des pièces détachées pendant [10] ans au moins après la livraison.</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Demandez les durées de garantie dans le cadre de réponse et notez-les : elles varient fortement d'un fabricant à l'autre.</w:t>
            </w:r>
          </w:p>
        </w:tc>
      </w:tr>
    </w:tbl>
    <w:p>
      <w:pPr>
        <w:spacing w:after="60"/>
      </w:pPr>
    </w:p>
    <w:p>
      <w:pPr>
        <w:pStyle w:val="Heading1"/>
        <w:spacing w:after="120" w:before="280"/>
      </w:pPr>
      <w:r>
        <w:rPr>
          <w:rFonts w:ascii="Calibri" w:cs="Calibri" w:eastAsia="Calibri" w:hAnsi="Calibri"/>
          <w:b/>
          <w:bCs/>
          <w:color w:val="1D4A23"/>
          <w:sz w:val="28"/>
          <w:szCs w:val="28"/>
        </w:rPr>
        <w:t xml:space="preserve">Article 12. Prestations optionnelles</w:t>
      </w:r>
    </w:p>
    <w:p>
      <w:pPr>
        <w:pStyle w:val="ListParagraph"/>
        <w:numPr>
          <w:ilvl w:val="0"/>
          <w:numId w:val="2"/>
        </w:numPr>
        <w:spacing w:after="60"/>
      </w:pPr>
      <w:r>
        <w:rPr>
          <w:rFonts w:ascii="Calibri" w:cs="Calibri" w:eastAsia="Calibri" w:hAnsi="Calibri"/>
          <w:sz w:val="21"/>
          <w:szCs w:val="21"/>
        </w:rPr>
        <w:t xml:space="preserve">Option 1 : contrat d'entretien et d'inspection opérationnelle sur [x] ans.</w:t>
      </w:r>
    </w:p>
    <w:p>
      <w:pPr>
        <w:pStyle w:val="ListParagraph"/>
        <w:numPr>
          <w:ilvl w:val="0"/>
          <w:numId w:val="2"/>
        </w:numPr>
        <w:spacing w:after="60"/>
      </w:pPr>
      <w:r>
        <w:rPr>
          <w:rFonts w:ascii="Calibri" w:cs="Calibri" w:eastAsia="Calibri" w:hAnsi="Calibri"/>
          <w:sz w:val="21"/>
          <w:szCs w:val="21"/>
        </w:rPr>
        <w:t xml:space="preserve">Option 2 : inspection principale annuelle par un organisme indépendant sur [x] ans.</w:t>
      </w:r>
    </w:p>
    <w:p>
      <w:pPr>
        <w:pStyle w:val="ListParagraph"/>
        <w:numPr>
          <w:ilvl w:val="0"/>
          <w:numId w:val="2"/>
        </w:numPr>
        <w:spacing w:after="60"/>
      </w:pPr>
      <w:r>
        <w:rPr>
          <w:rFonts w:ascii="Calibri" w:cs="Calibri" w:eastAsia="Calibri" w:hAnsi="Calibri"/>
          <w:sz w:val="21"/>
          <w:szCs w:val="21"/>
        </w:rPr>
        <w:t xml:space="preserve">Option 3 : [voile d'ombrage, mobilier, clôture, plantations].</w:t>
      </w:r>
    </w:p>
    <w:p>
      <w:pPr>
        <w:pStyle w:val="Heading1"/>
        <w:spacing w:after="120" w:before="280"/>
      </w:pPr>
      <w:r>
        <w:rPr>
          <w:rFonts w:ascii="Calibri" w:cs="Calibri" w:eastAsia="Calibri" w:hAnsi="Calibri"/>
          <w:b/>
          <w:bCs/>
          <w:color w:val="1D4A23"/>
          <w:sz w:val="28"/>
          <w:szCs w:val="28"/>
        </w:rPr>
        <w:t xml:space="preserve">Pièces à fournir dans l'offre (rappel pour le règlement de consultation)</w:t>
      </w:r>
    </w:p>
    <w:p>
      <w:pPr>
        <w:pStyle w:val="ListParagraph"/>
        <w:numPr>
          <w:ilvl w:val="0"/>
          <w:numId w:val="2"/>
        </w:numPr>
        <w:spacing w:after="60"/>
      </w:pPr>
      <w:r>
        <w:rPr>
          <w:rFonts w:ascii="Calibri" w:cs="Calibri" w:eastAsia="Calibri" w:hAnsi="Calibri"/>
          <w:sz w:val="21"/>
          <w:szCs w:val="21"/>
        </w:rPr>
        <w:t xml:space="preserve">Plan d'implantation coté avec les zones d'impact.</w:t>
      </w:r>
    </w:p>
    <w:p>
      <w:pPr>
        <w:pStyle w:val="ListParagraph"/>
        <w:numPr>
          <w:ilvl w:val="0"/>
          <w:numId w:val="2"/>
        </w:numPr>
        <w:spacing w:after="60"/>
      </w:pPr>
      <w:r>
        <w:rPr>
          <w:rFonts w:ascii="Calibri" w:cs="Calibri" w:eastAsia="Calibri" w:hAnsi="Calibri"/>
          <w:sz w:val="21"/>
          <w:szCs w:val="21"/>
        </w:rPr>
        <w:t xml:space="preserve">Perspective ou visuel de l'aire proposée.</w:t>
      </w:r>
    </w:p>
    <w:p>
      <w:pPr>
        <w:pStyle w:val="ListParagraph"/>
        <w:numPr>
          <w:ilvl w:val="0"/>
          <w:numId w:val="2"/>
        </w:numPr>
        <w:spacing w:after="60"/>
      </w:pPr>
      <w:r>
        <w:rPr>
          <w:rFonts w:ascii="Calibri" w:cs="Calibri" w:eastAsia="Calibri" w:hAnsi="Calibri"/>
          <w:sz w:val="21"/>
          <w:szCs w:val="21"/>
        </w:rPr>
        <w:t xml:space="preserve">Fiche technique et certificat de conformité de chaque équipement et du sol.</w:t>
      </w:r>
    </w:p>
    <w:p>
      <w:pPr>
        <w:pStyle w:val="ListParagraph"/>
        <w:numPr>
          <w:ilvl w:val="0"/>
          <w:numId w:val="2"/>
        </w:numPr>
        <w:spacing w:after="60"/>
      </w:pPr>
      <w:r>
        <w:rPr>
          <w:rFonts w:ascii="Calibri" w:cs="Calibri" w:eastAsia="Calibri" w:hAnsi="Calibri"/>
          <w:sz w:val="21"/>
          <w:szCs w:val="21"/>
        </w:rPr>
        <w:t xml:space="preserve">Mémoire technique : méthodologie de pose, planning, moyens, garanties, service après-vente.</w:t>
      </w:r>
    </w:p>
    <w:p>
      <w:pPr>
        <w:pStyle w:val="ListParagraph"/>
        <w:numPr>
          <w:ilvl w:val="0"/>
          <w:numId w:val="2"/>
        </w:numPr>
        <w:spacing w:after="60"/>
      </w:pPr>
      <w:r>
        <w:rPr>
          <w:rFonts w:ascii="Calibri" w:cs="Calibri" w:eastAsia="Calibri" w:hAnsi="Calibri"/>
          <w:sz w:val="21"/>
          <w:szCs w:val="21"/>
        </w:rPr>
        <w:t xml:space="preserve">Décomposition du prix global et forfaitaire (DPGF) par équipement, sol, pose et options.</w:t>
      </w:r>
    </w:p>
    <w:tbl>
      <w:tblPr>
        <w:tblW w:type="dxa" w:w="9638"/>
        <w:tblBorders>
          <w:top w:val="single" w:color="auto" w:sz="4"/>
          <w:left w:val="single" w:color="auto" w:sz="4"/>
          <w:bottom w:val="single" w:color="auto" w:sz="4"/>
          <w:right w:val="single" w:color="auto" w:sz="4"/>
          <w:insideH w:val="single" w:color="auto" w:sz="4"/>
          <w:insideV w:val="single" w:color="auto" w:sz="4"/>
        </w:tblBorders>
      </w:tblPr>
      <w:tblGrid>
        <w:gridCol w:w="9638"/>
      </w:tblGrid>
      <w:tr>
        <w:tc>
          <w:tcPr>
            <w:tcW w:type="dxa" w:w="9638"/>
            <w:tcBorders>
              <w:top w:val="none" w:color="FFFFFF" w:sz="0"/>
              <w:left w:val="single" w:color="1D4A23" w:sz="24"/>
              <w:bottom w:val="none" w:color="FFFFFF" w:sz="0"/>
              <w:right w:val="none" w:color="FFFFFF" w:sz="0"/>
            </w:tcBorders>
            <w:shd w:fill="EAF2E6" w:color="auto" w:val="clear"/>
            <w:tcMar>
              <w:top w:type="dxa" w:w="120"/>
              <w:left w:type="dxa" w:w="180"/>
              <w:bottom w:type="dxa" w:w="120"/>
              <w:right w:type="dxa" w:w="180"/>
            </w:tcMar>
          </w:tcPr>
          <w:p>
            <w:r>
              <w:rPr>
                <w:rFonts w:ascii="Calibri" w:cs="Calibri" w:eastAsia="Calibri" w:hAnsi="Calibri"/>
                <w:b/>
                <w:bCs/>
                <w:color w:val="98662C"/>
                <w:sz w:val="19"/>
                <w:szCs w:val="19"/>
              </w:rPr>
              <w:t xml:space="preserve">Conseil de rédaction : </w:t>
            </w:r>
            <w:r>
              <w:rPr>
                <w:rFonts w:ascii="Calibri" w:cs="Calibri" w:eastAsia="Calibri" w:hAnsi="Calibri"/>
                <w:i/>
                <w:iCs/>
                <w:color w:val="3A4A40"/>
                <w:sz w:val="19"/>
                <w:szCs w:val="19"/>
              </w:rPr>
              <w:t xml:space="preserve">Les critères de jugement (prix, valeur technique, garanties, délai) figurent dans le règlement de consultation, pas dans le CCTP.</w:t>
            </w:r>
          </w:p>
        </w:tc>
      </w:tr>
    </w:tbl>
    <w:p>
      <w:pPr>
        <w:spacing w:after="60"/>
      </w:pPr>
    </w:p>
    <w:sectPr>
      <w:footerReference w:type="default" r:id="rId7"/>
      <w:pgSz w:w="11906" w:h="16838" w:orient="portrait"/>
      <w:pgMar w:top="1134" w:right="1134" w:bottom="1134" w:left="113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5D6B62"/>
        <w:sz w:val="16"/>
        <w:szCs w:val="16"/>
      </w:rPr>
      <w:t xml:space="preserve">Modèle proposé par Nature Équipements, conseil indépendant en aires de jeux · www.nature-equipements.fr · Page </w:t>
    </w:r>
    <w:r>
      <w:rPr>
        <w:rFonts w:ascii="Calibri" w:cs="Calibri" w:eastAsia="Calibri" w:hAnsi="Calibri"/>
        <w:color w:val="5D6B62"/>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540" w:hanging="27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1"/>
        <w:szCs w:val="21"/>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image" Target="media/da0cbbf5a0a452f1043b56ba0bc291befebdecc6.png"/><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Modèle de CCTP aire de jeux</dc:title>
  <dc:creator>Nature Équipements</dc:creator>
  <dc:description>Modèle commenté de CCTP pour la fourniture et la pose d'une aire de jeux</dc:description>
  <cp:lastModifiedBy>Un-named</cp:lastModifiedBy>
  <cp:revision>1</cp:revision>
  <dcterms:created xsi:type="dcterms:W3CDTF">2026-09-27T08:58:46.082Z</dcterms:created>
  <dcterms:modified xsi:type="dcterms:W3CDTF">2026-09-27T08:58:46.093Z</dcterms:modified>
</cp:coreProperties>
</file>

<file path=docProps/custom.xml><?xml version="1.0" encoding="utf-8"?>
<Properties xmlns="http://schemas.openxmlformats.org/officeDocument/2006/custom-properties" xmlns:vt="http://schemas.openxmlformats.org/officeDocument/2006/docPropsVTypes"/>
</file>